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087630" cy="7234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7630" cy="723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74ac29"/>
        </w:rPr>
      </w:pPr>
      <w:r w:rsidDel="00000000" w:rsidR="00000000" w:rsidRPr="00000000">
        <w:rPr>
          <w:color w:val="74ac29"/>
          <w:rtl w:val="0"/>
        </w:rPr>
        <w:t xml:space="preserve">TWIST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Струйные головки для нанесения термоклея</w:t>
      </w:r>
    </w:p>
    <w:p w:rsidR="00000000" w:rsidDel="00000000" w:rsidP="00000000" w:rsidRDefault="00000000" w:rsidRPr="00000000" w14:paraId="00000008">
      <w:pPr>
        <w:shd w:fill="ffffff" w:val="clear"/>
        <w:rPr>
          <w:color w:val="1a1a1a"/>
          <w:sz w:val="23"/>
          <w:szCs w:val="23"/>
        </w:rPr>
      </w:pPr>
      <w:r w:rsidDel="00000000" w:rsidR="00000000" w:rsidRPr="00000000">
        <w:rPr>
          <w:color w:val="1a1a1a"/>
          <w:sz w:val="23"/>
          <w:szCs w:val="23"/>
          <w:rtl w:val="0"/>
        </w:rPr>
        <w:t xml:space="preserve">Гибкие, низкие затраты на обслуживание, компактные</w:t>
      </w:r>
    </w:p>
    <w:p w:rsidR="00000000" w:rsidDel="00000000" w:rsidP="00000000" w:rsidRDefault="00000000" w:rsidRPr="00000000" w14:paraId="0000000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368763" cy="7582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8763" cy="758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74ac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4ac29"/>
          <w:sz w:val="24"/>
          <w:szCs w:val="24"/>
          <w:rtl w:val="0"/>
        </w:rPr>
        <w:t xml:space="preserve">ПРАКТИЧНАЯ СТРУЙНАЯ ГОЛОВКА ДЛЯ ПРОСТОГО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74ac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4ac29"/>
          <w:sz w:val="24"/>
          <w:szCs w:val="24"/>
          <w:rtl w:val="0"/>
        </w:rPr>
        <w:t xml:space="preserve">НАНЕСЕНИЕ КЛЕЕВЫХ ТОЧЕК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74ac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Twist - это компактная электропневматическая струйная головка линейки Easy. Благодаря своей моноблочной конструкции она энергоэффективна и надежна при нанесении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термопластичных клеёв.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Клеевая головка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не требующая особого обслуживания, подходит для склеивания вторичной упаковки и готовой продукции со скоростью производственной линии до 20-30 м/мин. Двойная головка Twist 2 с успехом используется в упаковочных машинах для картонных упаковок.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74ac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4ac29"/>
          <w:sz w:val="24"/>
          <w:szCs w:val="24"/>
          <w:rtl w:val="0"/>
        </w:rPr>
        <w:t xml:space="preserve">Простота обслуживания благодаря новой </w:t>
      </w:r>
      <w:r w:rsidDel="00000000" w:rsidR="00000000" w:rsidRPr="00000000">
        <w:rPr>
          <w:rFonts w:ascii="Times New Roman" w:cs="Times New Roman" w:eastAsia="Times New Roman" w:hAnsi="Times New Roman"/>
          <w:color w:val="74ac29"/>
          <w:sz w:val="24"/>
          <w:szCs w:val="24"/>
          <w:highlight w:val="white"/>
          <w:rtl w:val="0"/>
        </w:rPr>
        <w:t xml:space="preserve">конструкции</w:t>
      </w:r>
      <w:r w:rsidDel="00000000" w:rsidR="00000000" w:rsidRPr="00000000">
        <w:rPr>
          <w:rFonts w:ascii="Times New Roman" w:cs="Times New Roman" w:eastAsia="Times New Roman" w:hAnsi="Times New Roman"/>
          <w:color w:val="74ac29"/>
          <w:sz w:val="24"/>
          <w:szCs w:val="24"/>
          <w:rtl w:val="0"/>
        </w:rPr>
        <w:t xml:space="preserve"> фильтра</w:t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С помощью Twist устраняется трудоемкая процедура снятия и повторной установки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клеевой головки для замены фильтра или его очистки. Фильтр тонкой очистки</w:t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интегрирован в нагреваемый шланг EasyLine, что упрощает проведение технического обслуживания. Загрязнения, возникающие в процессе обслуживания, не попадают в клеевую головку.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761d"/>
          <w:sz w:val="24"/>
          <w:szCs w:val="24"/>
          <w:highlight w:val="white"/>
          <w:rtl w:val="0"/>
        </w:rPr>
        <w:t xml:space="preserve">Практичные особенности для монтажа с экономией пространства: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Кронштейн головки может поворачиваться на угол 22,5° вокруг оси клеевой головки, он может быть установлен справа или слева.</w:t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Сопла могут быть установлены по направлению потока или под углом 90°, а также с возможностью поворота на 180°.</w:t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Клеевая головка может непрерывно вращаться вокруг оси нагреваемого шланга.</w:t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Электромагнитный клапан закреплен на одной из двух магнитных пластин на</w:t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нагреваемом шланге.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38761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38761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761d"/>
          <w:sz w:val="24"/>
          <w:szCs w:val="24"/>
          <w:highlight w:val="white"/>
          <w:rtl w:val="0"/>
        </w:rPr>
        <w:t xml:space="preserve">Простая интеграция и хранение запасных частей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Клеевая головка Twist управляется при помощи сигнала 24 В постоянного тока</w:t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непосредственно из ПЛК без усилителя. Для работы Twist требуется нагреваемый</w:t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шланг EasyLine с быстросъёмным фитингом и интегрированным фильтром.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color w:val="38761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color w:val="38761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761d"/>
          <w:sz w:val="24"/>
          <w:szCs w:val="24"/>
          <w:highlight w:val="white"/>
          <w:rtl w:val="0"/>
        </w:rPr>
        <w:t xml:space="preserve">Ваши преимущества: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Гибкость установки в машинах благодаря переменному позиционированию клеевой головки и сопел.</w:t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Небольшие требования к пространству за счет моноблочной конструкции,</w:t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быстросъёмного фитинга и выносного электромагнитного клапана.</w:t>
      </w:r>
    </w:p>
    <w:p w:rsidR="00000000" w:rsidDel="00000000" w:rsidP="00000000" w:rsidRDefault="00000000" w:rsidRPr="00000000" w14:paraId="0000002E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Минимум обслуживания: только очистка или замена сопла.</w:t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Моноблочная конструкция обеспечивает энергоэффективность и хорошее качество</w:t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нанесения клея.</w:t>
      </w:r>
    </w:p>
    <w:p w:rsidR="00000000" w:rsidDel="00000000" w:rsidP="00000000" w:rsidRDefault="00000000" w:rsidRPr="00000000" w14:paraId="00000031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• Изоляция CoolTouch обеспечивает безопасность и снижает потери тепла.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• Подключение 24 В постоянного тока без усилителя для простой интеграции в систему и управления через ПЛК.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523.6363636363636" w:lineRule="auto"/>
        <w:jc w:val="center"/>
        <w:rPr>
          <w:rFonts w:ascii="Times New Roman" w:cs="Times New Roman" w:eastAsia="Times New Roman" w:hAnsi="Times New Roman"/>
          <w:color w:val="74ac29"/>
          <w:sz w:val="24"/>
          <w:szCs w:val="24"/>
          <w:highlight w:val="white"/>
        </w:rPr>
      </w:pPr>
      <w:bookmarkStart w:colFirst="0" w:colLast="0" w:name="_wt54ug7jmgb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74ac29"/>
          <w:sz w:val="24"/>
          <w:szCs w:val="24"/>
          <w:highlight w:val="white"/>
          <w:rtl w:val="0"/>
        </w:rPr>
        <w:t xml:space="preserve">Технические характеристики</w:t>
      </w:r>
    </w:p>
    <w:tbl>
      <w:tblPr>
        <w:tblStyle w:val="Table1"/>
        <w:tblW w:w="9030.0" w:type="dxa"/>
        <w:jc w:val="left"/>
        <w:tblLayout w:type="fixed"/>
        <w:tblLook w:val="0600"/>
      </w:tblPr>
      <w:tblGrid>
        <w:gridCol w:w="2985"/>
        <w:gridCol w:w="6045"/>
        <w:tblGridChange w:id="0">
          <w:tblGrid>
            <w:gridCol w:w="2985"/>
            <w:gridCol w:w="604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Рабочая температура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От 20° до 200° 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Давление клея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Макс. 75 бар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Вязкость клея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От 100 до 5 000 мПас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Ресурс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30 000 000 циклов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Частота переключений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50 Гц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Время реакции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12,5 мс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Ширина струйного элемента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Twist: 34 мм (с держателем); Twist 2: 56 мм (с держателем)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Тип сопла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292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Напряжение питания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24 В постоянного тока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Управление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24 В постоянного тока / 8 Вт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Держатель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ø 12 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Уровень шума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4"/>
                <w:szCs w:val="24"/>
                <w:highlight w:val="white"/>
                <w:rtl w:val="0"/>
              </w:rPr>
              <w:t xml:space="preserve">Twist: ок. 76 дБ(A), Twist 2: ок. 79 дБ(A)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f5f63"/>
                <w:sz w:val="24"/>
                <w:szCs w:val="24"/>
                <w:highlight w:val="white"/>
                <w:rtl w:val="0"/>
              </w:rPr>
              <w:t xml:space="preserve">Совместимость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eeeed" w:space="0" w:sz="6" w:val="single"/>
            </w:tcBorders>
            <w:tcMar>
              <w:top w:w="24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346.15384615384613" w:lineRule="auto"/>
              <w:jc w:val="both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EasyLine: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74ac29"/>
                  <w:sz w:val="24"/>
                  <w:szCs w:val="24"/>
                  <w:highlight w:val="white"/>
                  <w:rtl w:val="0"/>
                </w:rPr>
                <w:t xml:space="preserve">плавитель Easy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5f5f63"/>
                <w:sz w:val="24"/>
                <w:szCs w:val="24"/>
                <w:highlight w:val="white"/>
                <w:rtl w:val="0"/>
              </w:rPr>
              <w:t xml:space="preserve"> и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74ac29"/>
                  <w:sz w:val="24"/>
                  <w:szCs w:val="24"/>
                  <w:highlight w:val="white"/>
                  <w:rtl w:val="0"/>
                </w:rPr>
                <w:t xml:space="preserve">нагреваемый шланг Rio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hd w:fill="ffffff" w:val="clear"/>
        <w:spacing w:before="300" w:line="346.15384615384613" w:lineRule="auto"/>
        <w:rPr>
          <w:rFonts w:ascii="Times New Roman" w:cs="Times New Roman" w:eastAsia="Times New Roman" w:hAnsi="Times New Roman"/>
          <w:i w:val="1"/>
          <w:color w:val="5f5f6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f5f63"/>
          <w:sz w:val="24"/>
          <w:szCs w:val="24"/>
          <w:highlight w:val="white"/>
          <w:rtl w:val="0"/>
        </w:rPr>
        <w:t xml:space="preserve">* Зависит от условий эксплуатации (клей, температура, частота и т.д.).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1828800" cy="72866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86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1)Клеевой фильтр, встроенный в нагревательный шланг</w:t>
      </w:r>
    </w:p>
    <w:p w:rsidR="00000000" w:rsidDel="00000000" w:rsidP="00000000" w:rsidRDefault="00000000" w:rsidRPr="00000000" w14:paraId="00000054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2)Позиционирование, экономящее пространство</w:t>
      </w:r>
    </w:p>
    <w:p w:rsidR="00000000" w:rsidDel="00000000" w:rsidP="00000000" w:rsidRDefault="00000000" w:rsidRPr="00000000" w14:paraId="00000055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3)Двойная головка Twist 2 для узкопрофильного нанесения</w:t>
      </w:r>
    </w:p>
    <w:p w:rsidR="00000000" w:rsidDel="00000000" w:rsidP="00000000" w:rsidRDefault="00000000" w:rsidRPr="00000000" w14:paraId="00000056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4)Изменяемое положение сопел для изменения угла нанесения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hyperlink" Target="https://www.robatech.ru/oborudovanie/shlangi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robatech.ru/oborudovanie/kleevye-golovki-linejno-tochechnogo-naneseniya/tw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